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1" w:rsidRPr="00C85B01" w:rsidRDefault="00C85B01" w:rsidP="00C85B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85B01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тезисов докладов </w:t>
      </w:r>
      <w:r w:rsidR="00C856C0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C8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82">
        <w:rPr>
          <w:rFonts w:ascii="Times New Roman" w:hAnsi="Times New Roman" w:cs="Times New Roman"/>
          <w:b/>
          <w:sz w:val="28"/>
          <w:szCs w:val="28"/>
        </w:rPr>
        <w:t>МИИТС</w:t>
      </w:r>
      <w:r w:rsidRPr="00C85B01">
        <w:rPr>
          <w:rFonts w:ascii="Times New Roman" w:hAnsi="Times New Roman" w:cs="Times New Roman"/>
          <w:b/>
          <w:sz w:val="28"/>
          <w:szCs w:val="28"/>
          <w:lang w:val="en-US"/>
        </w:rPr>
        <w:t>-2017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  <w:r w:rsidRPr="00C85B01">
        <w:rPr>
          <w:rFonts w:ascii="Times New Roman" w:hAnsi="Times New Roman" w:cs="Times New Roman"/>
          <w:sz w:val="28"/>
          <w:szCs w:val="28"/>
        </w:rPr>
        <w:t xml:space="preserve"> принимаются объемом</w:t>
      </w:r>
      <w:r>
        <w:rPr>
          <w:rFonts w:ascii="Times New Roman" w:hAnsi="Times New Roman" w:cs="Times New Roman"/>
          <w:sz w:val="28"/>
          <w:szCs w:val="28"/>
        </w:rPr>
        <w:t xml:space="preserve"> 1 или </w:t>
      </w:r>
      <w:r w:rsidRPr="00C85B01">
        <w:rPr>
          <w:rFonts w:ascii="Times New Roman" w:hAnsi="Times New Roman" w:cs="Times New Roman"/>
          <w:sz w:val="28"/>
          <w:szCs w:val="28"/>
        </w:rPr>
        <w:t>2 полных страниц</w:t>
      </w:r>
      <w:r>
        <w:rPr>
          <w:rFonts w:ascii="Times New Roman" w:hAnsi="Times New Roman" w:cs="Times New Roman"/>
          <w:sz w:val="28"/>
          <w:szCs w:val="28"/>
        </w:rPr>
        <w:t>ы текста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85B01">
        <w:rPr>
          <w:rFonts w:ascii="Times New Roman" w:hAnsi="Times New Roman" w:cs="Times New Roman"/>
          <w:sz w:val="28"/>
          <w:szCs w:val="28"/>
        </w:rPr>
        <w:t xml:space="preserve"> в редакторе MS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01">
        <w:rPr>
          <w:rFonts w:ascii="Times New Roman" w:hAnsi="Times New Roman" w:cs="Times New Roman"/>
          <w:b/>
          <w:sz w:val="28"/>
          <w:szCs w:val="28"/>
        </w:rPr>
        <w:t>без рисунков</w:t>
      </w:r>
      <w:r w:rsidRPr="00C85B01">
        <w:rPr>
          <w:rFonts w:ascii="Times New Roman" w:hAnsi="Times New Roman" w:cs="Times New Roman"/>
          <w:sz w:val="28"/>
          <w:szCs w:val="28"/>
        </w:rPr>
        <w:t>.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>Тезисы доклада оформляются в соответствии со следующими треб</w:t>
      </w:r>
      <w:r w:rsidRPr="00C85B01">
        <w:rPr>
          <w:rFonts w:ascii="Times New Roman" w:hAnsi="Times New Roman" w:cs="Times New Roman"/>
          <w:sz w:val="28"/>
          <w:szCs w:val="28"/>
        </w:rPr>
        <w:t>о</w:t>
      </w:r>
      <w:r w:rsidRPr="00C85B01">
        <w:rPr>
          <w:rFonts w:ascii="Times New Roman" w:hAnsi="Times New Roman" w:cs="Times New Roman"/>
          <w:sz w:val="28"/>
          <w:szCs w:val="28"/>
        </w:rPr>
        <w:t>ваниями: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8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8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85B01">
        <w:rPr>
          <w:rFonts w:ascii="Times New Roman" w:hAnsi="Times New Roman" w:cs="Times New Roman"/>
          <w:sz w:val="28"/>
          <w:szCs w:val="28"/>
        </w:rPr>
        <w:t>, кегль 14; поля: слева, справа, сверху и снизу - 2,5 см; межстрочный интервал - одинарный;</w:t>
      </w:r>
      <w:r w:rsidR="005D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> - В первой строке - название доклада прописными буквами, выравн</w:t>
      </w:r>
      <w:r w:rsidRPr="00C85B01">
        <w:rPr>
          <w:rFonts w:ascii="Times New Roman" w:hAnsi="Times New Roman" w:cs="Times New Roman"/>
          <w:sz w:val="28"/>
          <w:szCs w:val="28"/>
        </w:rPr>
        <w:t>и</w:t>
      </w:r>
      <w:r w:rsidRPr="00C85B01">
        <w:rPr>
          <w:rFonts w:ascii="Times New Roman" w:hAnsi="Times New Roman" w:cs="Times New Roman"/>
          <w:sz w:val="28"/>
          <w:szCs w:val="28"/>
        </w:rPr>
        <w:t xml:space="preserve">вание по центру, жирным шрифтом, размер 14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85B01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C85B01">
        <w:rPr>
          <w:rFonts w:ascii="Times New Roman" w:hAnsi="Times New Roman" w:cs="Times New Roman"/>
          <w:sz w:val="28"/>
          <w:szCs w:val="28"/>
        </w:rPr>
        <w:t>. После названия - одна пустая строка;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 xml:space="preserve"> - Во второй строке - по центру фамилия и инициалы авторов доклада жирным шрифтом, размер 14 </w:t>
      </w:r>
      <w:proofErr w:type="spellStart"/>
      <w:r w:rsidRPr="00C85B0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85B01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C85B01">
        <w:rPr>
          <w:rFonts w:ascii="Times New Roman" w:hAnsi="Times New Roman" w:cs="Times New Roman"/>
          <w:sz w:val="28"/>
          <w:szCs w:val="28"/>
        </w:rPr>
        <w:t>;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 xml:space="preserve"> - В третьей строке - по центру полное название организации и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D7C75">
        <w:rPr>
          <w:rFonts w:ascii="Times New Roman" w:hAnsi="Times New Roman" w:cs="Times New Roman"/>
          <w:sz w:val="28"/>
          <w:szCs w:val="28"/>
        </w:rPr>
        <w:t xml:space="preserve">, </w:t>
      </w:r>
      <w:r w:rsidR="00BF44CC">
        <w:rPr>
          <w:rFonts w:ascii="Times New Roman" w:hAnsi="Times New Roman" w:cs="Times New Roman"/>
          <w:sz w:val="28"/>
          <w:szCs w:val="28"/>
        </w:rPr>
        <w:t xml:space="preserve">нежирный шрифт, </w:t>
      </w:r>
      <w:r w:rsidR="005D7C75">
        <w:rPr>
          <w:rFonts w:ascii="Times New Roman" w:hAnsi="Times New Roman" w:cs="Times New Roman"/>
          <w:sz w:val="28"/>
          <w:szCs w:val="28"/>
        </w:rPr>
        <w:t>курсив.</w:t>
      </w:r>
    </w:p>
    <w:p w:rsidR="00C85B01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>Основной т</w:t>
      </w:r>
      <w:r w:rsidR="005D7C75">
        <w:rPr>
          <w:rFonts w:ascii="Times New Roman" w:hAnsi="Times New Roman" w:cs="Times New Roman"/>
          <w:sz w:val="28"/>
          <w:szCs w:val="28"/>
        </w:rPr>
        <w:t>екст - через одну пустую строку, выравнивание по ш</w:t>
      </w:r>
      <w:r w:rsidR="005D7C75">
        <w:rPr>
          <w:rFonts w:ascii="Times New Roman" w:hAnsi="Times New Roman" w:cs="Times New Roman"/>
          <w:sz w:val="28"/>
          <w:szCs w:val="28"/>
        </w:rPr>
        <w:t>и</w:t>
      </w:r>
      <w:r w:rsidR="005D7C75">
        <w:rPr>
          <w:rFonts w:ascii="Times New Roman" w:hAnsi="Times New Roman" w:cs="Times New Roman"/>
          <w:sz w:val="28"/>
          <w:szCs w:val="28"/>
        </w:rPr>
        <w:t>рине; абзацный отступ – 1 см;</w:t>
      </w:r>
    </w:p>
    <w:p w:rsidR="009D55EF" w:rsidRDefault="00C85B01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01">
        <w:rPr>
          <w:rFonts w:ascii="Times New Roman" w:hAnsi="Times New Roman" w:cs="Times New Roman"/>
          <w:sz w:val="28"/>
          <w:szCs w:val="28"/>
        </w:rPr>
        <w:t xml:space="preserve">Через одну </w:t>
      </w:r>
      <w:proofErr w:type="gramStart"/>
      <w:r w:rsidRPr="00C85B01">
        <w:rPr>
          <w:rFonts w:ascii="Times New Roman" w:hAnsi="Times New Roman" w:cs="Times New Roman"/>
          <w:sz w:val="28"/>
          <w:szCs w:val="28"/>
        </w:rPr>
        <w:t>пустую строку после основного текста прилагается</w:t>
      </w:r>
      <w:proofErr w:type="gramEnd"/>
      <w:r w:rsidRPr="00C85B01">
        <w:rPr>
          <w:rFonts w:ascii="Times New Roman" w:hAnsi="Times New Roman" w:cs="Times New Roman"/>
          <w:sz w:val="28"/>
          <w:szCs w:val="28"/>
        </w:rPr>
        <w:t xml:space="preserve"> список литературы (шр</w:t>
      </w:r>
      <w:r>
        <w:rPr>
          <w:rFonts w:ascii="Times New Roman" w:hAnsi="Times New Roman" w:cs="Times New Roman"/>
          <w:sz w:val="28"/>
          <w:szCs w:val="28"/>
        </w:rPr>
        <w:t xml:space="preserve">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14).</w:t>
      </w:r>
    </w:p>
    <w:p w:rsidR="00C635CA" w:rsidRDefault="00C635CA" w:rsidP="00C85B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тезисов доклада приведен на следующей стран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це.</w:t>
      </w:r>
    </w:p>
    <w:p w:rsidR="00C85B01" w:rsidRDefault="00C85B01">
      <w:pP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C85B01" w:rsidRPr="00C85B01" w:rsidRDefault="00C85B01" w:rsidP="00C635C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5B0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ПРОБЛЕМЫ РЕАЛИЗАЦИИ БАЙЕСОВСКОГО ПОДХОДА </w:t>
      </w:r>
      <w:r w:rsidRPr="00C85B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85B01" w:rsidRPr="00C85B01" w:rsidRDefault="00C85B01" w:rsidP="00C635C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5B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ОЦЕНИВАНИЮ НЕОПРЕДЕЛЕННОСТИ ИЗМЕРЕНИЙ</w:t>
      </w:r>
    </w:p>
    <w:p w:rsidR="00C85B01" w:rsidRPr="00C85B01" w:rsidRDefault="00C85B01" w:rsidP="00C635C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5B01" w:rsidRPr="00C85B01" w:rsidRDefault="005D7C75" w:rsidP="00C6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Захаров</w:t>
      </w:r>
      <w:r w:rsidR="00C85B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И.П.</w:t>
      </w:r>
      <w:r w:rsidR="00C85B01" w:rsidRPr="00C85B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D7C75" w:rsidRPr="00BF44CC" w:rsidRDefault="005D7C75" w:rsidP="00C635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44C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Харьковский национальный университет радиоэлектроники, </w:t>
      </w:r>
    </w:p>
    <w:p w:rsidR="005D7C75" w:rsidRPr="00BF44CC" w:rsidRDefault="005D7C75" w:rsidP="00C635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BF44C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newzip@ukr.net</w:t>
      </w:r>
    </w:p>
    <w:p w:rsidR="00C85B01" w:rsidRPr="00C85B01" w:rsidRDefault="00C85B01" w:rsidP="00C6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7218AE" w:rsidRDefault="00C85B01" w:rsidP="00C63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создания «Руководства по выражению неопред</w:t>
      </w:r>
      <w:r w:rsidR="0072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еленности измерений» (GUM) [1] </w:t>
      </w: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более 20 лет. За это время были выявлены многие его недостатки, которые привели к необходимости разработки по</w:t>
      </w: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основанного на численной реализации закона распространения ра</w:t>
      </w: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пределений [2]. </w:t>
      </w:r>
    </w:p>
    <w:p w:rsidR="007218AE" w:rsidRDefault="007218AE" w:rsidP="00C63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для расширенной неопределенности </w:t>
      </w:r>
      <w:r w:rsidR="00BF44CC" w:rsidRPr="00C42D02">
        <w:rPr>
          <w:position w:val="-6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DSMT4" ShapeID="_x0000_i1025" DrawAspect="Content" ObjectID="_1567975491" r:id="rId7"/>
        </w:object>
      </w:r>
      <w:r w:rsidR="00BF44C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GUM</w:t>
      </w:r>
      <w:r w:rsidRPr="0016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вид:</w:t>
      </w:r>
    </w:p>
    <w:p w:rsidR="007218AE" w:rsidRDefault="007218AE" w:rsidP="007218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AE">
        <w:rPr>
          <w:rFonts w:ascii="Calibri" w:eastAsia="Calibri" w:hAnsi="Calibri" w:cs="Times New Roman"/>
          <w:position w:val="-12"/>
          <w:sz w:val="28"/>
          <w:szCs w:val="28"/>
        </w:rPr>
        <w:object w:dxaOrig="1200" w:dyaOrig="360">
          <v:shape id="_x0000_i1026" type="#_x0000_t75" style="width:63pt;height:19.5pt" o:ole="">
            <v:imagedata r:id="rId8" o:title=""/>
          </v:shape>
          <o:OLEObject Type="Embed" ProgID="Equation.DSMT4" ShapeID="_x0000_i1026" DrawAspect="Content" ObjectID="_1567975492" r:id="rId9"/>
        </w:object>
      </w:r>
      <w:r w:rsidRPr="007218AE">
        <w:rPr>
          <w:rFonts w:ascii="Times New Roman" w:eastAsia="Calibri" w:hAnsi="Times New Roman" w:cs="Times New Roman"/>
          <w:sz w:val="28"/>
          <w:szCs w:val="28"/>
        </w:rPr>
        <w:t>,</w:t>
      </w:r>
      <w:r w:rsidRPr="0072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(1)</w:t>
      </w:r>
    </w:p>
    <w:p w:rsidR="007218AE" w:rsidRDefault="007218AE" w:rsidP="00721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t xml:space="preserve"> </w:t>
      </w:r>
      <w:r w:rsidRPr="00C42D02">
        <w:rPr>
          <w:position w:val="-6"/>
        </w:rPr>
        <w:object w:dxaOrig="220" w:dyaOrig="300">
          <v:shape id="_x0000_i1027" type="#_x0000_t75" style="width:11.25pt;height:15pt" o:ole="">
            <v:imagedata r:id="rId10" o:title=""/>
          </v:shape>
          <o:OLEObject Type="Embed" ProgID="Equation.DSMT4" ShapeID="_x0000_i1027" DrawAspect="Content" ObjectID="_1567975493" r:id="rId1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 охвата; </w:t>
      </w:r>
      <w:r w:rsidRPr="00C42D02">
        <w:rPr>
          <w:position w:val="-12"/>
        </w:rPr>
        <w:object w:dxaOrig="580" w:dyaOrig="360">
          <v:shape id="_x0000_i1028" type="#_x0000_t75" style="width:29.25pt;height:18pt" o:ole="">
            <v:imagedata r:id="rId12" o:title=""/>
          </v:shape>
          <o:OLEObject Type="Embed" ProgID="Equation.DSMT4" ShapeID="_x0000_i1028" DrawAspect="Content" ObjectID="_1567975494" r:id="rId13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стандартная неопределенность измер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величины.</w:t>
      </w:r>
    </w:p>
    <w:p w:rsidR="007218AE" w:rsidRDefault="007218AE" w:rsidP="00C63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5B01"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равнение оценок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расширенной</w:t>
      </w:r>
      <w:r w:rsidR="00C85B01"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неопределенности, </w:t>
      </w:r>
      <w:r w:rsidR="001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B01" w:rsidRPr="00C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получаемых c использованием подходов, описанных в [1] и [2], показывает их численное </w:t>
      </w:r>
      <w:r w:rsidR="001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отличие. </w:t>
      </w:r>
    </w:p>
    <w:p w:rsidR="001443DE" w:rsidRDefault="00294755" w:rsidP="00C63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</w:t>
      </w:r>
      <w:r w:rsidRPr="00294755">
        <w:rPr>
          <w:rFonts w:ascii="Times New Roman" w:eastAsia="Times New Roman" w:hAnsi="Times New Roman" w:cs="Times New Roman"/>
          <w:bCs/>
          <w:sz w:val="28"/>
          <w:szCs w:val="28"/>
        </w:rPr>
        <w:t>оценок параметров, представленных в</w:t>
      </w:r>
      <w:r w:rsidR="001443DE">
        <w:rPr>
          <w:rFonts w:ascii="Times New Roman" w:hAnsi="Times New Roman" w:cs="Times New Roman"/>
          <w:sz w:val="28"/>
          <w:szCs w:val="28"/>
        </w:rPr>
        <w:t xml:space="preserve"> </w:t>
      </w:r>
      <w:r w:rsidR="001443DE" w:rsidRPr="001443DE">
        <w:rPr>
          <w:rFonts w:ascii="Times New Roman" w:eastAsia="Calibri" w:hAnsi="Times New Roman" w:cs="Times New Roman"/>
          <w:iCs/>
          <w:spacing w:val="-2"/>
          <w:sz w:val="28"/>
          <w:szCs w:val="28"/>
          <w:lang w:val="en-US"/>
        </w:rPr>
        <w:t>JCGM 100:2008</w:t>
      </w:r>
      <w:r w:rsidRPr="002947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29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47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443DE" w:rsidRPr="001443DE">
        <w:rPr>
          <w:rFonts w:ascii="Times New Roman" w:eastAsia="Calibri" w:hAnsi="Times New Roman" w:cs="Times New Roman"/>
          <w:iCs/>
          <w:spacing w:val="-2"/>
          <w:sz w:val="28"/>
          <w:szCs w:val="28"/>
          <w:lang w:val="en-US"/>
        </w:rPr>
        <w:t>JCGM 100:201X (CD</w:t>
      </w:r>
      <w:r w:rsidR="001443DE" w:rsidRPr="001443D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1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в табл. 1.</w:t>
      </w:r>
    </w:p>
    <w:p w:rsidR="00C635CA" w:rsidRDefault="00C635CA" w:rsidP="00C63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755" w:rsidRPr="00294755" w:rsidRDefault="001443DE" w:rsidP="00C635C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  <w:r w:rsidR="00294755" w:rsidRPr="0029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402"/>
        <w:gridCol w:w="4216"/>
      </w:tblGrid>
      <w:tr w:rsidR="00C635CA" w:rsidRPr="001443DE" w:rsidTr="00C635CA">
        <w:trPr>
          <w:jc w:val="center"/>
        </w:trPr>
        <w:tc>
          <w:tcPr>
            <w:tcW w:w="1385" w:type="dxa"/>
            <w:shd w:val="clear" w:color="auto" w:fill="auto"/>
            <w:tcMar>
              <w:left w:w="28" w:type="dxa"/>
              <w:right w:w="28" w:type="dxa"/>
            </w:tcMar>
          </w:tcPr>
          <w:p w:rsidR="001443DE" w:rsidRPr="001443DE" w:rsidRDefault="00C635CA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443DE"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>араметр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JCGM 100:2008</w:t>
            </w:r>
          </w:p>
        </w:tc>
        <w:tc>
          <w:tcPr>
            <w:tcW w:w="42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JCGM 100:201X (CD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C635CA" w:rsidRPr="001443DE" w:rsidTr="00C635CA">
        <w:trPr>
          <w:jc w:val="center"/>
        </w:trPr>
        <w:tc>
          <w:tcPr>
            <w:tcW w:w="13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780" w:dyaOrig="420">
                <v:shape id="_x0000_i1029" type="#_x0000_t75" style="width:41.25pt;height:23.25pt" o:ole="">
                  <v:imagedata r:id="rId14" o:title=""/>
                </v:shape>
                <o:OLEObject Type="Embed" ProgID="Equation.DSMT4" ShapeID="_x0000_i1029" DrawAspect="Content" ObjectID="_1567975495" r:id="rId15"/>
              </w:objec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1443DE">
              <w:rPr>
                <w:rFonts w:ascii="Calibri" w:eastAsia="Calibri" w:hAnsi="Calibri" w:cs="Times New Roman"/>
                <w:position w:val="-18"/>
                <w:sz w:val="28"/>
                <w:szCs w:val="28"/>
              </w:rPr>
              <w:object w:dxaOrig="920" w:dyaOrig="499">
                <v:shape id="_x0000_i1030" type="#_x0000_t75" style="width:48pt;height:27pt" o:ole="">
                  <v:imagedata r:id="rId16" o:title=""/>
                </v:shape>
                <o:OLEObject Type="Embed" ProgID="Equation.DSMT4" ShapeID="_x0000_i1030" DrawAspect="Content" ObjectID="_1567975496" r:id="rId17"/>
              </w:object>
            </w:r>
          </w:p>
        </w:tc>
        <w:tc>
          <w:tcPr>
            <w:tcW w:w="4216" w:type="dxa"/>
            <w:shd w:val="clear" w:color="auto" w:fill="auto"/>
            <w:tcMar>
              <w:left w:w="28" w:type="dxa"/>
              <w:right w:w="28" w:type="dxa"/>
            </w:tcMar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1443DE">
              <w:rPr>
                <w:rFonts w:ascii="Calibri" w:eastAsia="Calibri" w:hAnsi="Calibri" w:cs="Times New Roman"/>
                <w:position w:val="-18"/>
                <w:sz w:val="28"/>
                <w:szCs w:val="28"/>
              </w:rPr>
              <w:object w:dxaOrig="3019" w:dyaOrig="499">
                <v:shape id="_x0000_i1031" type="#_x0000_t75" style="width:158.25pt;height:27pt" o:ole="">
                  <v:imagedata r:id="rId18" o:title=""/>
                </v:shape>
                <o:OLEObject Type="Embed" ProgID="Equation.DSMT4" ShapeID="_x0000_i1031" DrawAspect="Content" ObjectID="_1567975497" r:id="rId19"/>
              </w:object>
            </w:r>
          </w:p>
        </w:tc>
      </w:tr>
      <w:tr w:rsidR="00C635CA" w:rsidRPr="001443DE" w:rsidTr="00C635CA">
        <w:trPr>
          <w:jc w:val="center"/>
        </w:trPr>
        <w:tc>
          <w:tcPr>
            <w:tcW w:w="13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780" w:dyaOrig="420">
                <v:shape id="_x0000_i1032" type="#_x0000_t75" style="width:41.25pt;height:23.25pt" o:ole="">
                  <v:imagedata r:id="rId20" o:title=""/>
                </v:shape>
                <o:OLEObject Type="Embed" ProgID="Equation.DSMT4" ShapeID="_x0000_i1032" DrawAspect="Content" ObjectID="_1567975498" r:id="rId21"/>
              </w:object>
            </w:r>
          </w:p>
        </w:tc>
        <w:tc>
          <w:tcPr>
            <w:tcW w:w="76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443D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 основе априорной информации о законах распределения входных величин</w:t>
            </w:r>
          </w:p>
        </w:tc>
      </w:tr>
      <w:tr w:rsidR="00C635CA" w:rsidRPr="001443DE" w:rsidTr="00C635CA">
        <w:trPr>
          <w:jc w:val="center"/>
        </w:trPr>
        <w:tc>
          <w:tcPr>
            <w:tcW w:w="13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680" w:dyaOrig="420">
                <v:shape id="_x0000_i1033" type="#_x0000_t75" style="width:36pt;height:23.25pt" o:ole="">
                  <v:imagedata r:id="rId22" o:title=""/>
                </v:shape>
                <o:OLEObject Type="Embed" ProgID="Equation.DSMT4" ShapeID="_x0000_i1033" DrawAspect="Content" ObjectID="_1567975499" r:id="rId23"/>
              </w:object>
            </w:r>
          </w:p>
        </w:tc>
        <w:tc>
          <w:tcPr>
            <w:tcW w:w="7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859" w:dyaOrig="420">
                <v:shape id="_x0000_i1034" type="#_x0000_t75" style="width:45pt;height:23.25pt" o:ole="">
                  <v:imagedata r:id="rId24" o:title=""/>
                </v:shape>
                <o:OLEObject Type="Embed" ProgID="Equation.DSMT4" ShapeID="_x0000_i1034" DrawAspect="Content" ObjectID="_1567975500" r:id="rId25"/>
              </w:objec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443DE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1340" w:dyaOrig="420">
                <v:shape id="_x0000_i1035" type="#_x0000_t75" style="width:66.75pt;height:21pt" o:ole="">
                  <v:imagedata r:id="rId26" o:title=""/>
                </v:shape>
                <o:OLEObject Type="Embed" ProgID="Equation.DSMT4" ShapeID="_x0000_i1035" DrawAspect="Content" ObjectID="_1567975501" r:id="rId27"/>
              </w:object>
            </w:r>
          </w:p>
        </w:tc>
      </w:tr>
      <w:tr w:rsidR="00C635CA" w:rsidRPr="001443DE" w:rsidTr="00C635CA">
        <w:trPr>
          <w:jc w:val="center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position w:val="-12"/>
                <w:sz w:val="28"/>
                <w:szCs w:val="28"/>
              </w:rPr>
              <w:object w:dxaOrig="639" w:dyaOrig="360">
                <v:shape id="_x0000_i1036" type="#_x0000_t75" style="width:33.75pt;height:19.5pt" o:ole="">
                  <v:imagedata r:id="rId28" o:title=""/>
                </v:shape>
                <o:OLEObject Type="Embed" ProgID="Equation.DSMT4" ShapeID="_x0000_i1036" DrawAspect="Content" ObjectID="_1567975502" r:id="rId29"/>
              </w:objec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43DE">
              <w:rPr>
                <w:rFonts w:ascii="Calibri" w:eastAsia="Calibri" w:hAnsi="Calibri" w:cs="Times New Roman"/>
                <w:position w:val="-16"/>
                <w:sz w:val="28"/>
                <w:szCs w:val="28"/>
              </w:rPr>
              <w:object w:dxaOrig="1540" w:dyaOrig="420">
                <v:shape id="_x0000_i1037" type="#_x0000_t75" style="width:81pt;height:23.25pt" o:ole="">
                  <v:imagedata r:id="rId30" o:title=""/>
                </v:shape>
                <o:OLEObject Type="Embed" ProgID="Equation.DSMT4" ShapeID="_x0000_i1037" DrawAspect="Content" ObjectID="_1567975503" r:id="rId31"/>
              </w:objec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443DE">
              <w:rPr>
                <w:rFonts w:ascii="Calibri" w:eastAsia="Calibri" w:hAnsi="Calibri" w:cs="Times New Roman"/>
                <w:position w:val="-38"/>
                <w:sz w:val="28"/>
                <w:szCs w:val="28"/>
              </w:rPr>
              <w:object w:dxaOrig="3159" w:dyaOrig="900">
                <v:shape id="_x0000_i1038" type="#_x0000_t75" style="width:165.75pt;height:49.5pt" o:ole="">
                  <v:imagedata r:id="rId32" o:title=""/>
                </v:shape>
                <o:OLEObject Type="Embed" ProgID="Equation.DSMT4" ShapeID="_x0000_i1038" DrawAspect="Content" ObjectID="_1567975504" r:id="rId33"/>
              </w:objec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3DE" w:rsidRPr="001443DE" w:rsidRDefault="001443DE" w:rsidP="00C6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3DE">
              <w:rPr>
                <w:rFonts w:ascii="Calibri" w:eastAsia="Calibri" w:hAnsi="Calibri" w:cs="Times New Roman"/>
                <w:position w:val="-12"/>
                <w:sz w:val="28"/>
                <w:szCs w:val="28"/>
              </w:rPr>
              <w:object w:dxaOrig="700" w:dyaOrig="360">
                <v:shape id="_x0000_i1039" type="#_x0000_t75" style="width:36.75pt;height:19.5pt" o:ole="">
                  <v:imagedata r:id="rId34" o:title=""/>
                </v:shape>
                <o:OLEObject Type="Embed" ProgID="Equation.DSMT4" ShapeID="_x0000_i1039" DrawAspect="Content" ObjectID="_1567975505" r:id="rId35"/>
              </w:object>
            </w:r>
            <w:r w:rsidRPr="00163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443DE">
              <w:rPr>
                <w:rFonts w:ascii="Calibri" w:eastAsia="Calibri" w:hAnsi="Calibri" w:cs="Times New Roman"/>
                <w:position w:val="-10"/>
                <w:sz w:val="28"/>
                <w:szCs w:val="28"/>
              </w:rPr>
              <w:object w:dxaOrig="1020" w:dyaOrig="340">
                <v:shape id="_x0000_i1040" type="#_x0000_t75" style="width:51pt;height:17.25pt" o:ole="">
                  <v:imagedata r:id="rId36" o:title=""/>
                </v:shape>
                <o:OLEObject Type="Embed" ProgID="Equation.DSMT4" ShapeID="_x0000_i1040" DrawAspect="Content" ObjectID="_1567975506" r:id="rId37"/>
              </w:objec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неизвестн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распределения);</w:t>
            </w:r>
            <w:r w:rsidRPr="001443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443DE">
              <w:rPr>
                <w:rFonts w:ascii="Calibri" w:eastAsia="Calibri" w:hAnsi="Calibri" w:cs="Times New Roman"/>
                <w:position w:val="-10"/>
                <w:sz w:val="28"/>
                <w:szCs w:val="28"/>
              </w:rPr>
              <w:object w:dxaOrig="999" w:dyaOrig="340">
                <v:shape id="_x0000_i1041" type="#_x0000_t75" style="width:50.25pt;height:17.25pt" o:ole="">
                  <v:imagedata r:id="rId38" o:title=""/>
                </v:shape>
                <o:OLEObject Type="Embed" ProgID="Equation.DSMT4" ShapeID="_x0000_i1041" DrawAspect="Content" ObjectID="_1567975507" r:id="rId39"/>
              </w:object>
            </w:r>
            <w:r w:rsidRPr="00163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>для симметричного унимодального распределения</w:t>
            </w:r>
            <w:r w:rsidRPr="00163F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635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4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35CA" w:rsidRDefault="00C635CA" w:rsidP="00C635C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01" w:rsidRPr="00C85B01" w:rsidRDefault="00C85B01" w:rsidP="00C635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8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C85B01" w:rsidRPr="00C85B01" w:rsidRDefault="00C85B01" w:rsidP="007218A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C85B0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1.</w:t>
      </w:r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 </w:t>
      </w:r>
      <w:proofErr w:type="gramStart"/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Guide  to</w:t>
      </w:r>
      <w:proofErr w:type="gramEnd"/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 the Expression of Uncertainty in Measurement. –</w:t>
      </w:r>
      <w:r w:rsidRPr="00C85B01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 xml:space="preserve"> Geneva</w:t>
      </w:r>
      <w:r w:rsidRPr="00C85B0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: </w:t>
      </w:r>
      <w:r w:rsidRPr="00C85B01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ISO</w:t>
      </w:r>
      <w:r w:rsidRPr="00C85B0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, 1993. – 101 </w:t>
      </w:r>
      <w:r w:rsidRPr="00C85B01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>p</w:t>
      </w:r>
      <w:r w:rsidRPr="00C85B0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</w:t>
      </w:r>
    </w:p>
    <w:p w:rsidR="00C85B01" w:rsidRDefault="00C85B01" w:rsidP="007218A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</w:pPr>
      <w:r w:rsidRPr="00C85B0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2. </w:t>
      </w:r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JCGM 101:2008. </w:t>
      </w:r>
      <w:proofErr w:type="gramStart"/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Evaluation of measurement data − Supplement 1 to the “Guide to the expression of uncertainty in measurement” − Propagation of di</w:t>
      </w:r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s</w:t>
      </w:r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tributions using a Monte Carlo method.</w:t>
      </w:r>
      <w:proofErr w:type="gramEnd"/>
      <w:r w:rsidRPr="00C85B01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 xml:space="preserve"> − JCGM, 2008. − 88 p.</w:t>
      </w:r>
    </w:p>
    <w:p w:rsidR="007218AE" w:rsidRPr="00C85B01" w:rsidRDefault="007218AE" w:rsidP="007218A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218AE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3</w:t>
      </w:r>
      <w:r w:rsidRPr="007218AE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. </w:t>
      </w:r>
      <w:proofErr w:type="spellStart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>Bich</w:t>
      </w:r>
      <w:proofErr w:type="spellEnd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et al. Revision of the «Guide to the Expression of Uncertainty in Measurement»// </w:t>
      </w:r>
      <w:proofErr w:type="spellStart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>Metrologia</w:t>
      </w:r>
      <w:proofErr w:type="spellEnd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7218AE">
        <w:rPr>
          <w:rFonts w:ascii="Times New Roman" w:hAnsi="Times New Roman" w:cs="Times New Roman"/>
          <w:iCs/>
          <w:sz w:val="28"/>
          <w:szCs w:val="28"/>
        </w:rPr>
        <w:t xml:space="preserve">− 2012, − </w:t>
      </w:r>
      <w:proofErr w:type="spellStart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>Vol</w:t>
      </w:r>
      <w:proofErr w:type="spellEnd"/>
      <w:r w:rsidRPr="007218AE">
        <w:rPr>
          <w:rFonts w:ascii="Times New Roman" w:hAnsi="Times New Roman" w:cs="Times New Roman"/>
          <w:iCs/>
          <w:sz w:val="28"/>
          <w:szCs w:val="28"/>
        </w:rPr>
        <w:t xml:space="preserve">. 49,  </w:t>
      </w:r>
      <w:proofErr w:type="spellStart"/>
      <w:r w:rsidRPr="007218AE">
        <w:rPr>
          <w:rFonts w:ascii="Times New Roman" w:hAnsi="Times New Roman" w:cs="Times New Roman"/>
          <w:iCs/>
          <w:sz w:val="28"/>
          <w:szCs w:val="28"/>
          <w:lang w:val="en-US"/>
        </w:rPr>
        <w:t>pp</w:t>
      </w:r>
      <w:proofErr w:type="spellEnd"/>
      <w:r w:rsidRPr="007218AE">
        <w:rPr>
          <w:rFonts w:ascii="Times New Roman" w:hAnsi="Times New Roman" w:cs="Times New Roman"/>
          <w:iCs/>
          <w:sz w:val="28"/>
          <w:szCs w:val="28"/>
        </w:rPr>
        <w:t>. 702–705.</w:t>
      </w:r>
    </w:p>
    <w:sectPr w:rsidR="007218AE" w:rsidRPr="00C85B01" w:rsidSect="00C85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1F"/>
    <w:multiLevelType w:val="hybridMultilevel"/>
    <w:tmpl w:val="7398F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9"/>
    <w:rsid w:val="000E4442"/>
    <w:rsid w:val="00121D35"/>
    <w:rsid w:val="001443DE"/>
    <w:rsid w:val="00163FE0"/>
    <w:rsid w:val="00294755"/>
    <w:rsid w:val="003C6EB9"/>
    <w:rsid w:val="00491CFE"/>
    <w:rsid w:val="005D7C75"/>
    <w:rsid w:val="00690C6C"/>
    <w:rsid w:val="007218AE"/>
    <w:rsid w:val="00BF44CC"/>
    <w:rsid w:val="00C635CA"/>
    <w:rsid w:val="00C856C0"/>
    <w:rsid w:val="00C85B01"/>
    <w:rsid w:val="00C91BFC"/>
    <w:rsid w:val="00CC7182"/>
    <w:rsid w:val="00DB3EFA"/>
    <w:rsid w:val="00F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43D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"/>
    <w:basedOn w:val="a"/>
    <w:rsid w:val="001443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43D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"/>
    <w:basedOn w:val="a"/>
    <w:rsid w:val="001443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Jully</cp:lastModifiedBy>
  <cp:revision>2</cp:revision>
  <dcterms:created xsi:type="dcterms:W3CDTF">2017-09-26T20:58:00Z</dcterms:created>
  <dcterms:modified xsi:type="dcterms:W3CDTF">2017-09-26T20:58:00Z</dcterms:modified>
</cp:coreProperties>
</file>